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9E" w:rsidRPr="00EC2BBB" w:rsidRDefault="000A38FC">
      <w:pPr>
        <w:spacing w:after="0"/>
        <w:ind w:right="62"/>
        <w:jc w:val="center"/>
        <w:rPr>
          <w:b/>
          <w:noProof/>
          <w:color w:val="385623" w:themeColor="accent6" w:themeShade="80"/>
          <w:sz w:val="32"/>
          <w:szCs w:val="32"/>
        </w:rPr>
      </w:pPr>
      <w:r w:rsidRPr="00EC2BBB">
        <w:rPr>
          <w:b/>
          <w:noProof/>
          <w:color w:val="385623" w:themeColor="accent6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1905</wp:posOffset>
            </wp:positionV>
            <wp:extent cx="1326515" cy="1332865"/>
            <wp:effectExtent l="0" t="0" r="6985" b="635"/>
            <wp:wrapSquare wrapText="bothSides"/>
            <wp:docPr id="1" name="Picture 1" descr="Image result for nmu logo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mu logo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BBB" w:rsidRPr="00EC2BBB">
        <w:rPr>
          <w:b/>
          <w:noProof/>
          <w:color w:val="385623" w:themeColor="accent6" w:themeShade="80"/>
          <w:sz w:val="32"/>
          <w:szCs w:val="32"/>
        </w:rPr>
        <w:t>East Shore Leadership Academy</w:t>
      </w:r>
    </w:p>
    <w:p w:rsidR="00EC2BBB" w:rsidRDefault="00EC2BBB">
      <w:pPr>
        <w:spacing w:after="0"/>
        <w:ind w:right="62"/>
        <w:jc w:val="center"/>
      </w:pPr>
    </w:p>
    <w:p w:rsidR="00C7439E" w:rsidRPr="00EC2BBB" w:rsidRDefault="00C7439E">
      <w:pPr>
        <w:spacing w:after="21"/>
        <w:ind w:left="5536"/>
        <w:jc w:val="center"/>
        <w:rPr>
          <w:color w:val="385623" w:themeColor="accent6" w:themeShade="80"/>
          <w:sz w:val="28"/>
          <w:szCs w:val="28"/>
        </w:rPr>
      </w:pPr>
    </w:p>
    <w:p w:rsidR="00C7439E" w:rsidRDefault="00E36644" w:rsidP="00334339">
      <w:pPr>
        <w:spacing w:after="159"/>
        <w:ind w:left="10" w:right="723" w:hanging="10"/>
        <w:jc w:val="center"/>
        <w:rPr>
          <w:b/>
          <w:sz w:val="24"/>
        </w:rPr>
      </w:pPr>
      <w:r w:rsidRPr="00EC2BBB">
        <w:rPr>
          <w:b/>
          <w:color w:val="385623" w:themeColor="accent6" w:themeShade="80"/>
          <w:sz w:val="28"/>
          <w:szCs w:val="28"/>
        </w:rPr>
        <w:t xml:space="preserve"> Goal Reporting </w:t>
      </w:r>
      <w:r>
        <w:rPr>
          <w:b/>
          <w:sz w:val="24"/>
        </w:rPr>
        <w:t xml:space="preserve"> </w:t>
      </w:r>
    </w:p>
    <w:p w:rsidR="00FD3810" w:rsidRPr="00FD3810" w:rsidRDefault="00FD3810" w:rsidP="00334339">
      <w:pPr>
        <w:spacing w:after="159"/>
        <w:ind w:left="10" w:right="723" w:hanging="10"/>
        <w:jc w:val="center"/>
        <w:rPr>
          <w:b/>
          <w:sz w:val="28"/>
          <w:szCs w:val="28"/>
        </w:rPr>
      </w:pPr>
      <w:r w:rsidRPr="00FD3810">
        <w:rPr>
          <w:b/>
          <w:sz w:val="28"/>
          <w:szCs w:val="28"/>
        </w:rPr>
        <w:t>(PA 144 of 2022 98b)</w:t>
      </w:r>
    </w:p>
    <w:p w:rsidR="00C7439E" w:rsidRDefault="00E36644">
      <w:pPr>
        <w:pStyle w:val="Heading1"/>
        <w:jc w:val="left"/>
      </w:pPr>
      <w:r>
        <w:t xml:space="preserve">Date: </w:t>
      </w:r>
      <w:r w:rsidR="00FD3810">
        <w:t>February 2023</w:t>
      </w:r>
    </w:p>
    <w:p w:rsidR="00C7439E" w:rsidRDefault="00E36644" w:rsidP="00EC2BBB">
      <w:pPr>
        <w:spacing w:after="157" w:line="262" w:lineRule="auto"/>
        <w:ind w:right="708"/>
        <w:rPr>
          <w:color w:val="222222"/>
          <w:shd w:val="clear" w:color="auto" w:fill="FFFFFF"/>
        </w:rPr>
      </w:pPr>
      <w:r>
        <w:rPr>
          <w:b/>
          <w:sz w:val="24"/>
        </w:rPr>
        <w:t xml:space="preserve">Goal: </w:t>
      </w:r>
      <w:r w:rsidR="00EC2BBB">
        <w:rPr>
          <w:color w:val="222222"/>
          <w:shd w:val="clear" w:color="auto" w:fill="FFFFFF"/>
        </w:rPr>
        <w:t>The median Student Conditional Growth Percentile by aggregate, grade-level, and applicable subgroup(s) will achieve typical growth in Reading</w:t>
      </w:r>
      <w:r w:rsidR="00334339">
        <w:rPr>
          <w:color w:val="222222"/>
          <w:shd w:val="clear" w:color="auto" w:fill="FFFFFF"/>
        </w:rPr>
        <w:t xml:space="preserve"> and Math</w:t>
      </w:r>
      <w:r w:rsidR="00EC2BBB">
        <w:rPr>
          <w:color w:val="222222"/>
          <w:shd w:val="clear" w:color="auto" w:fill="FFFFFF"/>
        </w:rPr>
        <w:t xml:space="preserve"> as defined by NWEA’s “About Average” effectiveness as described on the Student Growth Summary Report at both the middle and end of the year testing windows.</w:t>
      </w:r>
    </w:p>
    <w:p w:rsidR="00EC2BBB" w:rsidRDefault="00EC2BBB" w:rsidP="00EC2BBB">
      <w:pPr>
        <w:spacing w:after="157" w:line="262" w:lineRule="auto"/>
        <w:ind w:right="708"/>
        <w:rPr>
          <w:color w:val="222222"/>
          <w:shd w:val="clear" w:color="auto" w:fill="FFFFFF"/>
        </w:rPr>
      </w:pPr>
    </w:p>
    <w:p w:rsidR="00EC2BBB" w:rsidRPr="00584AD5" w:rsidRDefault="00584AD5" w:rsidP="00584AD5">
      <w:pPr>
        <w:spacing w:after="157" w:line="262" w:lineRule="auto"/>
        <w:ind w:right="708"/>
        <w:jc w:val="center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 xml:space="preserve">      </w:t>
      </w:r>
      <w:r w:rsidR="00EC2BBB" w:rsidRPr="00584AD5">
        <w:rPr>
          <w:b/>
          <w:color w:val="222222"/>
          <w:sz w:val="32"/>
          <w:szCs w:val="32"/>
          <w:shd w:val="clear" w:color="auto" w:fill="FFFFFF"/>
        </w:rPr>
        <w:t xml:space="preserve">Progress Towards Goal as of </w:t>
      </w:r>
      <w:r w:rsidR="00566C95">
        <w:rPr>
          <w:b/>
          <w:color w:val="222222"/>
          <w:sz w:val="32"/>
          <w:szCs w:val="32"/>
          <w:shd w:val="clear" w:color="auto" w:fill="FFFFFF"/>
        </w:rPr>
        <w:t>February 2023</w:t>
      </w:r>
    </w:p>
    <w:p w:rsidR="00EC2BBB" w:rsidRPr="00584AD5" w:rsidRDefault="00584AD5" w:rsidP="00EC2BBB">
      <w:pPr>
        <w:spacing w:after="157" w:line="262" w:lineRule="auto"/>
        <w:ind w:right="708"/>
        <w:jc w:val="center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 xml:space="preserve">      </w:t>
      </w:r>
      <w:r w:rsidR="00EC2BBB" w:rsidRPr="00584AD5">
        <w:rPr>
          <w:b/>
          <w:color w:val="222222"/>
          <w:sz w:val="32"/>
          <w:szCs w:val="32"/>
          <w:shd w:val="clear" w:color="auto" w:fill="FFFFFF"/>
        </w:rPr>
        <w:t>Mathematics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878"/>
        <w:gridCol w:w="2880"/>
        <w:gridCol w:w="2880"/>
      </w:tblGrid>
      <w:tr w:rsidR="00334339" w:rsidTr="00E1413E">
        <w:trPr>
          <w:jc w:val="center"/>
        </w:trPr>
        <w:tc>
          <w:tcPr>
            <w:tcW w:w="2878" w:type="dxa"/>
          </w:tcPr>
          <w:p w:rsidR="00334339" w:rsidRPr="00584AD5" w:rsidRDefault="00334339" w:rsidP="00584AD5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334339" w:rsidRPr="00584AD5" w:rsidRDefault="00334339" w:rsidP="00584AD5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b/>
                <w:color w:val="222222"/>
                <w:sz w:val="24"/>
                <w:szCs w:val="24"/>
                <w:shd w:val="clear" w:color="auto" w:fill="FFFFFF"/>
              </w:rPr>
              <w:t>Grades</w:t>
            </w:r>
          </w:p>
        </w:tc>
        <w:tc>
          <w:tcPr>
            <w:tcW w:w="2880" w:type="dxa"/>
          </w:tcPr>
          <w:p w:rsidR="00334339" w:rsidRDefault="00334339" w:rsidP="00584AD5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Fall to Winter </w:t>
            </w:r>
          </w:p>
          <w:p w:rsidR="00334339" w:rsidRDefault="00334339" w:rsidP="00584AD5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b/>
                <w:color w:val="222222"/>
                <w:sz w:val="24"/>
                <w:szCs w:val="24"/>
                <w:shd w:val="clear" w:color="auto" w:fill="FFFFFF"/>
              </w:rPr>
              <w:t>Median</w:t>
            </w:r>
          </w:p>
          <w:p w:rsidR="00334339" w:rsidRPr="00584AD5" w:rsidRDefault="00334339" w:rsidP="00584AD5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b/>
                <w:color w:val="222222"/>
                <w:sz w:val="24"/>
                <w:szCs w:val="24"/>
                <w:shd w:val="clear" w:color="auto" w:fill="FFFFFF"/>
              </w:rPr>
              <w:t>Growth Percentiles</w:t>
            </w:r>
          </w:p>
        </w:tc>
        <w:tc>
          <w:tcPr>
            <w:tcW w:w="2880" w:type="dxa"/>
          </w:tcPr>
          <w:p w:rsidR="00334339" w:rsidRDefault="00334339" w:rsidP="00334339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Fall to Spring</w:t>
            </w:r>
          </w:p>
          <w:p w:rsidR="00334339" w:rsidRDefault="00334339" w:rsidP="00334339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b/>
                <w:color w:val="222222"/>
                <w:sz w:val="24"/>
                <w:szCs w:val="24"/>
                <w:shd w:val="clear" w:color="auto" w:fill="FFFFFF"/>
              </w:rPr>
              <w:t>Median</w:t>
            </w:r>
          </w:p>
          <w:p w:rsidR="00334339" w:rsidRDefault="00334339" w:rsidP="00334339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b/>
                <w:color w:val="222222"/>
                <w:sz w:val="24"/>
                <w:szCs w:val="24"/>
                <w:shd w:val="clear" w:color="auto" w:fill="FFFFFF"/>
              </w:rPr>
              <w:t>Growth Percentiles</w:t>
            </w:r>
          </w:p>
        </w:tc>
      </w:tr>
      <w:tr w:rsidR="00334339" w:rsidTr="00E1413E">
        <w:trPr>
          <w:jc w:val="center"/>
        </w:trPr>
        <w:tc>
          <w:tcPr>
            <w:tcW w:w="2878" w:type="dxa"/>
          </w:tcPr>
          <w:p w:rsidR="00334339" w:rsidRPr="00584AD5" w:rsidRDefault="00334339" w:rsidP="00584AD5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color w:val="222222"/>
                <w:sz w:val="24"/>
                <w:szCs w:val="24"/>
                <w:shd w:val="clear" w:color="auto" w:fill="FFFFFF"/>
              </w:rPr>
              <w:t>K-2</w:t>
            </w:r>
          </w:p>
        </w:tc>
        <w:tc>
          <w:tcPr>
            <w:tcW w:w="2880" w:type="dxa"/>
          </w:tcPr>
          <w:p w:rsidR="00334339" w:rsidRPr="00584AD5" w:rsidRDefault="00FD3810" w:rsidP="00584AD5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880" w:type="dxa"/>
          </w:tcPr>
          <w:p w:rsidR="00334339" w:rsidRDefault="00334339" w:rsidP="00584AD5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bookmarkStart w:id="0" w:name="_GoBack"/>
        <w:bookmarkEnd w:id="0"/>
      </w:tr>
      <w:tr w:rsidR="00334339" w:rsidTr="00E1413E">
        <w:trPr>
          <w:jc w:val="center"/>
        </w:trPr>
        <w:tc>
          <w:tcPr>
            <w:tcW w:w="2878" w:type="dxa"/>
          </w:tcPr>
          <w:p w:rsidR="00334339" w:rsidRPr="00584AD5" w:rsidRDefault="00334339" w:rsidP="00584AD5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color w:val="222222"/>
                <w:sz w:val="24"/>
                <w:szCs w:val="24"/>
                <w:shd w:val="clear" w:color="auto" w:fill="FFFFFF"/>
              </w:rPr>
              <w:t>3-8</w:t>
            </w:r>
          </w:p>
        </w:tc>
        <w:tc>
          <w:tcPr>
            <w:tcW w:w="2880" w:type="dxa"/>
          </w:tcPr>
          <w:p w:rsidR="00334339" w:rsidRPr="00584AD5" w:rsidRDefault="00D40CD0" w:rsidP="00584AD5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2880" w:type="dxa"/>
          </w:tcPr>
          <w:p w:rsidR="00334339" w:rsidRDefault="00334339" w:rsidP="00584AD5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34339" w:rsidTr="00E1413E">
        <w:trPr>
          <w:jc w:val="center"/>
        </w:trPr>
        <w:tc>
          <w:tcPr>
            <w:tcW w:w="2878" w:type="dxa"/>
          </w:tcPr>
          <w:p w:rsidR="00334339" w:rsidRPr="00584AD5" w:rsidRDefault="00334339" w:rsidP="00584AD5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color w:val="222222"/>
                <w:sz w:val="24"/>
                <w:szCs w:val="24"/>
                <w:shd w:val="clear" w:color="auto" w:fill="FFFFFF"/>
              </w:rPr>
              <w:t>K-8</w:t>
            </w:r>
          </w:p>
        </w:tc>
        <w:tc>
          <w:tcPr>
            <w:tcW w:w="2880" w:type="dxa"/>
          </w:tcPr>
          <w:p w:rsidR="00334339" w:rsidRPr="00584AD5" w:rsidRDefault="00D40CD0" w:rsidP="00584AD5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2880" w:type="dxa"/>
          </w:tcPr>
          <w:p w:rsidR="00334339" w:rsidRDefault="00334339" w:rsidP="00584AD5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EC2BBB" w:rsidRDefault="00334339" w:rsidP="00334339">
      <w:pPr>
        <w:spacing w:after="157" w:line="262" w:lineRule="auto"/>
        <w:ind w:right="708"/>
        <w:jc w:val="center"/>
        <w:rPr>
          <w:color w:val="222222"/>
          <w:shd w:val="clear" w:color="auto" w:fill="FFFFFF"/>
        </w:rPr>
      </w:pPr>
      <w:r w:rsidRPr="00584AD5">
        <w:rPr>
          <w:b/>
          <w:color w:val="222222"/>
          <w:sz w:val="32"/>
          <w:szCs w:val="32"/>
          <w:shd w:val="clear" w:color="auto" w:fill="FFFFFF"/>
        </w:rPr>
        <w:t>Reading</w:t>
      </w:r>
    </w:p>
    <w:tbl>
      <w:tblPr>
        <w:tblStyle w:val="TableGrid0"/>
        <w:tblpPr w:leftFromText="180" w:rightFromText="180" w:vertAnchor="text" w:horzAnchor="margin" w:tblpXSpec="center" w:tblpY="252"/>
        <w:tblW w:w="0" w:type="auto"/>
        <w:tblLook w:val="04A0" w:firstRow="1" w:lastRow="0" w:firstColumn="1" w:lastColumn="0" w:noHBand="0" w:noVBand="1"/>
      </w:tblPr>
      <w:tblGrid>
        <w:gridCol w:w="2653"/>
        <w:gridCol w:w="3043"/>
        <w:gridCol w:w="2849"/>
      </w:tblGrid>
      <w:tr w:rsidR="00334339" w:rsidTr="00E1413E">
        <w:tc>
          <w:tcPr>
            <w:tcW w:w="2653" w:type="dxa"/>
          </w:tcPr>
          <w:p w:rsidR="00334339" w:rsidRPr="00584AD5" w:rsidRDefault="00334339" w:rsidP="00E1413E">
            <w:pPr>
              <w:spacing w:after="157" w:line="262" w:lineRule="auto"/>
              <w:ind w:right="708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334339" w:rsidRPr="00584AD5" w:rsidRDefault="00334339" w:rsidP="00334339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b/>
                <w:color w:val="222222"/>
                <w:sz w:val="24"/>
                <w:szCs w:val="24"/>
                <w:shd w:val="clear" w:color="auto" w:fill="FFFFFF"/>
              </w:rPr>
              <w:t>Grades</w:t>
            </w:r>
          </w:p>
        </w:tc>
        <w:tc>
          <w:tcPr>
            <w:tcW w:w="3043" w:type="dxa"/>
          </w:tcPr>
          <w:p w:rsidR="00334339" w:rsidRDefault="00334339" w:rsidP="00334339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Fall to Winter</w:t>
            </w:r>
          </w:p>
          <w:p w:rsidR="00334339" w:rsidRDefault="00334339" w:rsidP="00334339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Median</w:t>
            </w:r>
          </w:p>
          <w:p w:rsidR="00334339" w:rsidRPr="00584AD5" w:rsidRDefault="00334339" w:rsidP="00334339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b/>
                <w:color w:val="222222"/>
                <w:sz w:val="24"/>
                <w:szCs w:val="24"/>
                <w:shd w:val="clear" w:color="auto" w:fill="FFFFFF"/>
              </w:rPr>
              <w:t>Growth Percentiles</w:t>
            </w:r>
          </w:p>
        </w:tc>
        <w:tc>
          <w:tcPr>
            <w:tcW w:w="2849" w:type="dxa"/>
          </w:tcPr>
          <w:p w:rsidR="00334339" w:rsidRDefault="00334339" w:rsidP="00334339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Fall to Spring</w:t>
            </w:r>
          </w:p>
          <w:p w:rsidR="00334339" w:rsidRDefault="00334339" w:rsidP="00334339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b/>
                <w:color w:val="222222"/>
                <w:sz w:val="24"/>
                <w:szCs w:val="24"/>
                <w:shd w:val="clear" w:color="auto" w:fill="FFFFFF"/>
              </w:rPr>
              <w:t>Median</w:t>
            </w:r>
          </w:p>
          <w:p w:rsidR="00334339" w:rsidRDefault="00334339" w:rsidP="00334339">
            <w:pPr>
              <w:spacing w:after="157" w:line="262" w:lineRule="auto"/>
              <w:ind w:right="708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b/>
                <w:color w:val="222222"/>
                <w:sz w:val="24"/>
                <w:szCs w:val="24"/>
                <w:shd w:val="clear" w:color="auto" w:fill="FFFFFF"/>
              </w:rPr>
              <w:t>Growth Percentiles</w:t>
            </w:r>
          </w:p>
        </w:tc>
      </w:tr>
      <w:tr w:rsidR="00334339" w:rsidTr="00E1413E">
        <w:tc>
          <w:tcPr>
            <w:tcW w:w="2653" w:type="dxa"/>
          </w:tcPr>
          <w:p w:rsidR="00334339" w:rsidRPr="00584AD5" w:rsidRDefault="00334339" w:rsidP="00334339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color w:val="222222"/>
                <w:sz w:val="24"/>
                <w:szCs w:val="24"/>
                <w:shd w:val="clear" w:color="auto" w:fill="FFFFFF"/>
              </w:rPr>
              <w:t>K-2</w:t>
            </w:r>
          </w:p>
        </w:tc>
        <w:tc>
          <w:tcPr>
            <w:tcW w:w="3043" w:type="dxa"/>
          </w:tcPr>
          <w:p w:rsidR="00334339" w:rsidRPr="00584AD5" w:rsidRDefault="00D40CD0" w:rsidP="00334339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849" w:type="dxa"/>
          </w:tcPr>
          <w:p w:rsidR="00334339" w:rsidRDefault="00334339" w:rsidP="00334339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34339" w:rsidTr="00E1413E">
        <w:tc>
          <w:tcPr>
            <w:tcW w:w="2653" w:type="dxa"/>
          </w:tcPr>
          <w:p w:rsidR="00334339" w:rsidRPr="00584AD5" w:rsidRDefault="00334339" w:rsidP="00334339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color w:val="222222"/>
                <w:sz w:val="24"/>
                <w:szCs w:val="24"/>
                <w:shd w:val="clear" w:color="auto" w:fill="FFFFFF"/>
              </w:rPr>
              <w:t>3-8</w:t>
            </w:r>
          </w:p>
        </w:tc>
        <w:tc>
          <w:tcPr>
            <w:tcW w:w="3043" w:type="dxa"/>
          </w:tcPr>
          <w:p w:rsidR="00334339" w:rsidRPr="00584AD5" w:rsidRDefault="00D40CD0" w:rsidP="00334339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2849" w:type="dxa"/>
          </w:tcPr>
          <w:p w:rsidR="00334339" w:rsidRDefault="00334339" w:rsidP="00334339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34339" w:rsidTr="00E1413E">
        <w:tc>
          <w:tcPr>
            <w:tcW w:w="2653" w:type="dxa"/>
          </w:tcPr>
          <w:p w:rsidR="00334339" w:rsidRPr="00584AD5" w:rsidRDefault="00334339" w:rsidP="00334339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84AD5">
              <w:rPr>
                <w:color w:val="222222"/>
                <w:sz w:val="24"/>
                <w:szCs w:val="24"/>
                <w:shd w:val="clear" w:color="auto" w:fill="FFFFFF"/>
              </w:rPr>
              <w:t>K-8</w:t>
            </w:r>
          </w:p>
        </w:tc>
        <w:tc>
          <w:tcPr>
            <w:tcW w:w="3043" w:type="dxa"/>
          </w:tcPr>
          <w:p w:rsidR="00334339" w:rsidRPr="00584AD5" w:rsidRDefault="00D40CD0" w:rsidP="00334339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2849" w:type="dxa"/>
          </w:tcPr>
          <w:p w:rsidR="00334339" w:rsidRDefault="00334339" w:rsidP="00334339">
            <w:pPr>
              <w:spacing w:after="157" w:line="262" w:lineRule="auto"/>
              <w:ind w:right="708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EC2BBB" w:rsidRPr="00584AD5" w:rsidRDefault="00584AD5" w:rsidP="00EC2BBB">
      <w:pPr>
        <w:spacing w:after="157" w:line="262" w:lineRule="auto"/>
        <w:ind w:right="708"/>
        <w:jc w:val="center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 xml:space="preserve">     </w:t>
      </w:r>
    </w:p>
    <w:p w:rsidR="00EC2BBB" w:rsidRDefault="00EC2BBB" w:rsidP="00EC2BBB">
      <w:pPr>
        <w:spacing w:after="157" w:line="262" w:lineRule="auto"/>
        <w:ind w:right="708"/>
        <w:rPr>
          <w:color w:val="222222"/>
          <w:shd w:val="clear" w:color="auto" w:fill="FFFFFF"/>
        </w:rPr>
      </w:pPr>
    </w:p>
    <w:p w:rsidR="00EC2BBB" w:rsidRDefault="00EC2BBB" w:rsidP="00EC2BBB">
      <w:pPr>
        <w:spacing w:after="157" w:line="262" w:lineRule="auto"/>
        <w:ind w:right="708"/>
        <w:rPr>
          <w:color w:val="222222"/>
          <w:shd w:val="clear" w:color="auto" w:fill="FFFFFF"/>
        </w:rPr>
      </w:pPr>
    </w:p>
    <w:sectPr w:rsidR="00EC2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66" w:right="716" w:bottom="2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BEC" w:rsidRDefault="00B16BEC" w:rsidP="00584AD5">
      <w:pPr>
        <w:spacing w:after="0" w:line="240" w:lineRule="auto"/>
      </w:pPr>
      <w:r>
        <w:separator/>
      </w:r>
    </w:p>
  </w:endnote>
  <w:endnote w:type="continuationSeparator" w:id="0">
    <w:p w:rsidR="00B16BEC" w:rsidRDefault="00B16BEC" w:rsidP="0058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AD5" w:rsidRDefault="00584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AD5" w:rsidRDefault="00584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AD5" w:rsidRDefault="00584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BEC" w:rsidRDefault="00B16BEC" w:rsidP="00584AD5">
      <w:pPr>
        <w:spacing w:after="0" w:line="240" w:lineRule="auto"/>
      </w:pPr>
      <w:r>
        <w:separator/>
      </w:r>
    </w:p>
  </w:footnote>
  <w:footnote w:type="continuationSeparator" w:id="0">
    <w:p w:rsidR="00B16BEC" w:rsidRDefault="00B16BEC" w:rsidP="0058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AD5" w:rsidRDefault="00584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AD5" w:rsidRDefault="00584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AD5" w:rsidRDefault="00584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9E"/>
    <w:rsid w:val="000A38FC"/>
    <w:rsid w:val="001F67D6"/>
    <w:rsid w:val="00334339"/>
    <w:rsid w:val="00423CE5"/>
    <w:rsid w:val="00431219"/>
    <w:rsid w:val="004A5E7D"/>
    <w:rsid w:val="004D7EAB"/>
    <w:rsid w:val="00566C95"/>
    <w:rsid w:val="00584AD5"/>
    <w:rsid w:val="00655BA5"/>
    <w:rsid w:val="00780830"/>
    <w:rsid w:val="008458FC"/>
    <w:rsid w:val="00956B86"/>
    <w:rsid w:val="009670EA"/>
    <w:rsid w:val="00A20FF2"/>
    <w:rsid w:val="00B16BEC"/>
    <w:rsid w:val="00B61838"/>
    <w:rsid w:val="00C30A5A"/>
    <w:rsid w:val="00C7439E"/>
    <w:rsid w:val="00D40CD0"/>
    <w:rsid w:val="00DF0A43"/>
    <w:rsid w:val="00E1413E"/>
    <w:rsid w:val="00E16797"/>
    <w:rsid w:val="00E36644"/>
    <w:rsid w:val="00E51173"/>
    <w:rsid w:val="00E54307"/>
    <w:rsid w:val="00EC2BBB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97C855-B159-44F7-9C5B-DCCFA0CE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5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3">
    <w:name w:val="Plain Table 3"/>
    <w:basedOn w:val="TableNormal"/>
    <w:uiPriority w:val="43"/>
    <w:rsid w:val="00A20F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0">
    <w:name w:val="Table Grid"/>
    <w:basedOn w:val="TableNormal"/>
    <w:uiPriority w:val="39"/>
    <w:rsid w:val="00EC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D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D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Hopper</dc:creator>
  <cp:keywords/>
  <cp:lastModifiedBy>Betty LaPointe</cp:lastModifiedBy>
  <cp:revision>4</cp:revision>
  <dcterms:created xsi:type="dcterms:W3CDTF">2023-02-06T19:15:00Z</dcterms:created>
  <dcterms:modified xsi:type="dcterms:W3CDTF">2023-02-06T20:02:00Z</dcterms:modified>
</cp:coreProperties>
</file>